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5E7A" w14:textId="77777777" w:rsidR="002C1FF5" w:rsidRDefault="002C1FF5" w:rsidP="002C1FF5">
      <w:pPr>
        <w:spacing w:after="0" w:line="240" w:lineRule="auto"/>
        <w:jc w:val="center"/>
        <w:rPr>
          <w:b/>
          <w:sz w:val="28"/>
          <w:szCs w:val="28"/>
        </w:rPr>
      </w:pPr>
    </w:p>
    <w:p w14:paraId="52C7C3C5" w14:textId="7713C4FF" w:rsidR="002C1FF5" w:rsidRDefault="002C1FF5" w:rsidP="002C1FF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3A47F7">
        <w:rPr>
          <w:b/>
          <w:sz w:val="28"/>
          <w:szCs w:val="28"/>
        </w:rPr>
        <w:t>Nem elég alaposak a faimportőrök a Nébih vizsgálatai szerint</w:t>
      </w:r>
    </w:p>
    <w:p w14:paraId="54AE38C4" w14:textId="77777777" w:rsidR="002C1FF5" w:rsidRPr="00A8133A" w:rsidRDefault="002C1FF5" w:rsidP="002C1FF5">
      <w:pPr>
        <w:spacing w:after="0" w:line="240" w:lineRule="auto"/>
        <w:rPr>
          <w:b/>
          <w:sz w:val="24"/>
        </w:rPr>
      </w:pPr>
    </w:p>
    <w:p w14:paraId="3AC4916B" w14:textId="77777777" w:rsidR="002C1FF5" w:rsidRDefault="002C1FF5" w:rsidP="002C1FF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Kiemelt figyelmet fordított tavaly a</w:t>
      </w:r>
      <w:r w:rsidRPr="00A8133A">
        <w:rPr>
          <w:b/>
          <w:sz w:val="24"/>
        </w:rPr>
        <w:t xml:space="preserve"> Nemzeti Élelmiszerlánc-biztonsági Hivatal (N</w:t>
      </w:r>
      <w:r>
        <w:rPr>
          <w:b/>
          <w:sz w:val="24"/>
        </w:rPr>
        <w:t>ébih</w:t>
      </w:r>
      <w:r w:rsidRPr="00A8133A">
        <w:rPr>
          <w:b/>
          <w:sz w:val="24"/>
        </w:rPr>
        <w:t>) a</w:t>
      </w:r>
      <w:r>
        <w:rPr>
          <w:b/>
          <w:sz w:val="24"/>
        </w:rPr>
        <w:t xml:space="preserve">z Európai Unión kívüli </w:t>
      </w:r>
      <w:r w:rsidRPr="00A8133A">
        <w:rPr>
          <w:b/>
          <w:sz w:val="24"/>
        </w:rPr>
        <w:t xml:space="preserve">országokból </w:t>
      </w:r>
      <w:r>
        <w:rPr>
          <w:b/>
          <w:sz w:val="24"/>
        </w:rPr>
        <w:t xml:space="preserve">fát, faterméket </w:t>
      </w:r>
      <w:r w:rsidRPr="00A8133A">
        <w:rPr>
          <w:b/>
          <w:sz w:val="24"/>
        </w:rPr>
        <w:t>importáló piaci szereplők</w:t>
      </w:r>
      <w:r>
        <w:rPr>
          <w:b/>
          <w:sz w:val="24"/>
        </w:rPr>
        <w:t xml:space="preserve"> vizsgálatára</w:t>
      </w:r>
      <w:r w:rsidRPr="00A8133A">
        <w:rPr>
          <w:b/>
          <w:sz w:val="24"/>
        </w:rPr>
        <w:t xml:space="preserve">. </w:t>
      </w:r>
      <w:r>
        <w:rPr>
          <w:b/>
          <w:sz w:val="24"/>
        </w:rPr>
        <w:t>Az</w:t>
      </w:r>
      <w:r w:rsidRPr="00A8133A">
        <w:rPr>
          <w:b/>
          <w:sz w:val="24"/>
        </w:rPr>
        <w:t xml:space="preserve"> </w:t>
      </w:r>
      <w:r>
        <w:rPr>
          <w:b/>
          <w:sz w:val="24"/>
        </w:rPr>
        <w:t xml:space="preserve">EUTR </w:t>
      </w:r>
      <w:r w:rsidRPr="00A8133A">
        <w:rPr>
          <w:b/>
          <w:sz w:val="24"/>
        </w:rPr>
        <w:t>ellenőrzés</w:t>
      </w:r>
      <w:r>
        <w:rPr>
          <w:b/>
          <w:sz w:val="24"/>
        </w:rPr>
        <w:t>ek</w:t>
      </w:r>
      <w:r w:rsidRPr="00A8133A">
        <w:rPr>
          <w:b/>
          <w:sz w:val="24"/>
        </w:rPr>
        <w:t xml:space="preserve"> </w:t>
      </w:r>
      <w:r>
        <w:rPr>
          <w:b/>
          <w:sz w:val="24"/>
        </w:rPr>
        <w:t>komoly problémákat fedtek fel: a vizsgálat alá vont importőrök</w:t>
      </w:r>
      <w:r w:rsidRPr="00A50669">
        <w:rPr>
          <w:b/>
          <w:sz w:val="24"/>
        </w:rPr>
        <w:t xml:space="preserve"> több mint fel</w:t>
      </w:r>
      <w:r>
        <w:rPr>
          <w:b/>
          <w:sz w:val="24"/>
        </w:rPr>
        <w:t>e az alapvetően megkövetelt DDS-rendszert* sem dolgozta ki, további jelentős részük pedig hibásan teljesítette ezt a kötelezettségét. A hatóság 15 esetben e hiányosságok pótlására kötelezte az érintetteket, a 6 legsúlyosabb szabálysértőt pedig eltiltotta a kereskedelmi tevékenység gyakorlásától. 2021-ben a kiszabott bírság meghaladta az 5 millió forintot.</w:t>
      </w:r>
    </w:p>
    <w:p w14:paraId="220B8406" w14:textId="77777777" w:rsidR="002C1FF5" w:rsidRDefault="002C1FF5" w:rsidP="002C1FF5">
      <w:pPr>
        <w:spacing w:after="0" w:line="240" w:lineRule="auto"/>
        <w:rPr>
          <w:b/>
          <w:sz w:val="24"/>
        </w:rPr>
      </w:pPr>
    </w:p>
    <w:p w14:paraId="2ED49EF7" w14:textId="77777777" w:rsidR="002C1FF5" w:rsidRDefault="002C1FF5" w:rsidP="002C1FF5">
      <w:pPr>
        <w:spacing w:after="0" w:line="240" w:lineRule="auto"/>
        <w:rPr>
          <w:sz w:val="24"/>
        </w:rPr>
      </w:pPr>
      <w:r>
        <w:rPr>
          <w:sz w:val="24"/>
        </w:rPr>
        <w:t xml:space="preserve">2021-ben fokozottan ellenőrizte a Nébih </w:t>
      </w:r>
      <w:r w:rsidRPr="008345A5">
        <w:rPr>
          <w:sz w:val="24"/>
        </w:rPr>
        <w:t xml:space="preserve">a </w:t>
      </w:r>
      <w:r>
        <w:rPr>
          <w:sz w:val="24"/>
        </w:rPr>
        <w:t xml:space="preserve">hazai </w:t>
      </w:r>
      <w:r w:rsidRPr="008345A5">
        <w:rPr>
          <w:sz w:val="24"/>
        </w:rPr>
        <w:t>faanyagkereskedelmi láncba harmadik ország</w:t>
      </w:r>
      <w:r>
        <w:rPr>
          <w:sz w:val="24"/>
        </w:rPr>
        <w:t>ok</w:t>
      </w:r>
      <w:r w:rsidRPr="008345A5">
        <w:rPr>
          <w:sz w:val="24"/>
        </w:rPr>
        <w:t>ból bekerülő fatermékekkel kapcsolatos jogsértések</w:t>
      </w:r>
      <w:r>
        <w:rPr>
          <w:sz w:val="24"/>
        </w:rPr>
        <w:t>et</w:t>
      </w:r>
      <w:r w:rsidRPr="008345A5">
        <w:rPr>
          <w:sz w:val="24"/>
        </w:rPr>
        <w:t xml:space="preserve">. </w:t>
      </w:r>
      <w:r>
        <w:rPr>
          <w:sz w:val="24"/>
        </w:rPr>
        <w:t xml:space="preserve">A korábbi évek ellenőrzési tapasztalatait alapul véve, bővült az ellenőrzött termékek és a származási országok köre is. Utóbbiak korrupciós indexe alapján az Ukrajnából, Oroszországból és Fehéroroszországból származó szállítmányok kerültek górcső alá. A fatermékeket tekintve pedig, a tűzifán kívül, további 6 vámtarifaszám-csoport importőreit is ellenőrzés alá vonták a szakemberek. </w:t>
      </w:r>
    </w:p>
    <w:p w14:paraId="2DE339D5" w14:textId="77777777" w:rsidR="002C1FF5" w:rsidRDefault="002C1FF5" w:rsidP="002C1FF5">
      <w:pPr>
        <w:spacing w:after="0" w:line="240" w:lineRule="auto"/>
        <w:rPr>
          <w:sz w:val="24"/>
        </w:rPr>
      </w:pPr>
    </w:p>
    <w:p w14:paraId="012E5A87" w14:textId="77777777" w:rsidR="002C1FF5" w:rsidRDefault="002C1FF5" w:rsidP="002C1FF5">
      <w:pPr>
        <w:spacing w:after="0" w:line="240" w:lineRule="auto"/>
        <w:rPr>
          <w:sz w:val="24"/>
        </w:rPr>
      </w:pPr>
      <w:r w:rsidRPr="008345A5">
        <w:rPr>
          <w:sz w:val="24"/>
        </w:rPr>
        <w:t>A</w:t>
      </w:r>
      <w:r>
        <w:rPr>
          <w:sz w:val="24"/>
        </w:rPr>
        <w:t>z importáló kereskedők</w:t>
      </w:r>
      <w:r w:rsidRPr="008345A5">
        <w:rPr>
          <w:sz w:val="24"/>
        </w:rPr>
        <w:t xml:space="preserve"> kötelessége annak biztosítása, hogy az Európai Unió piacán ne </w:t>
      </w:r>
      <w:proofErr w:type="spellStart"/>
      <w:r w:rsidRPr="008345A5">
        <w:rPr>
          <w:sz w:val="24"/>
        </w:rPr>
        <w:t>kerülhessen</w:t>
      </w:r>
      <w:proofErr w:type="spellEnd"/>
      <w:r w:rsidRPr="008345A5">
        <w:rPr>
          <w:sz w:val="24"/>
        </w:rPr>
        <w:t xml:space="preserve"> forgalomba illegális kitermelésből származó fa és fatermék, </w:t>
      </w:r>
      <w:r>
        <w:rPr>
          <w:sz w:val="24"/>
        </w:rPr>
        <w:t>ennek érdekében ún. *„K</w:t>
      </w:r>
      <w:r w:rsidRPr="008345A5">
        <w:rPr>
          <w:sz w:val="24"/>
        </w:rPr>
        <w:t>ellő gondosság elvén alapuló rendszert</w:t>
      </w:r>
      <w:r>
        <w:rPr>
          <w:sz w:val="24"/>
        </w:rPr>
        <w:t>”</w:t>
      </w:r>
      <w:r w:rsidRPr="008345A5">
        <w:rPr>
          <w:sz w:val="24"/>
        </w:rPr>
        <w:t xml:space="preserve"> (</w:t>
      </w:r>
      <w:r>
        <w:rPr>
          <w:sz w:val="24"/>
        </w:rPr>
        <w:t xml:space="preserve">az angol </w:t>
      </w:r>
      <w:proofErr w:type="spellStart"/>
      <w:r>
        <w:rPr>
          <w:sz w:val="24"/>
        </w:rPr>
        <w:t>Due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Diligence</w:t>
      </w:r>
      <w:proofErr w:type="spellEnd"/>
      <w:r>
        <w:rPr>
          <w:sz w:val="24"/>
        </w:rPr>
        <w:t xml:space="preserve"> System rövidítéseként </w:t>
      </w:r>
      <w:r w:rsidRPr="008345A5">
        <w:rPr>
          <w:sz w:val="24"/>
        </w:rPr>
        <w:t>DDS</w:t>
      </w:r>
      <w:r>
        <w:rPr>
          <w:sz w:val="24"/>
        </w:rPr>
        <w:t>-t</w:t>
      </w:r>
      <w:r w:rsidRPr="008345A5">
        <w:rPr>
          <w:sz w:val="24"/>
        </w:rPr>
        <w:t xml:space="preserve">) kell </w:t>
      </w:r>
      <w:r>
        <w:rPr>
          <w:sz w:val="24"/>
        </w:rPr>
        <w:t xml:space="preserve">létrehozniuk és </w:t>
      </w:r>
      <w:r w:rsidRPr="008345A5">
        <w:rPr>
          <w:sz w:val="24"/>
        </w:rPr>
        <w:t xml:space="preserve">működtetniük. </w:t>
      </w:r>
      <w:r>
        <w:rPr>
          <w:sz w:val="24"/>
        </w:rPr>
        <w:t>Az importőrök e rendszerbe foglaltan határozzák meg, hogy az általuk importált fatermékek esetében milyen módon, milyen dokumentumok alapján vizsgálják és biztosítják a legális eredet igazolását.</w:t>
      </w:r>
    </w:p>
    <w:p w14:paraId="6A539EB8" w14:textId="77777777" w:rsidR="002C1FF5" w:rsidRDefault="002C1FF5" w:rsidP="002C1FF5">
      <w:pPr>
        <w:spacing w:after="0" w:line="240" w:lineRule="auto"/>
        <w:rPr>
          <w:sz w:val="24"/>
        </w:rPr>
      </w:pPr>
    </w:p>
    <w:p w14:paraId="24FCE318" w14:textId="77777777" w:rsidR="002C1FF5" w:rsidRDefault="002C1FF5" w:rsidP="002C1FF5">
      <w:pPr>
        <w:spacing w:after="0" w:line="240" w:lineRule="auto"/>
        <w:rPr>
          <w:sz w:val="24"/>
        </w:rPr>
      </w:pPr>
      <w:r>
        <w:rPr>
          <w:sz w:val="24"/>
        </w:rPr>
        <w:t>Noha e rendszer kialakításához és működtetéséhez számos hatósági útmutató áll rendelkezésre, a</w:t>
      </w:r>
      <w:r w:rsidRPr="008345A5">
        <w:rPr>
          <w:sz w:val="24"/>
        </w:rPr>
        <w:t>z ellenőrzött</w:t>
      </w:r>
      <w:r>
        <w:rPr>
          <w:sz w:val="24"/>
        </w:rPr>
        <w:t>e</w:t>
      </w:r>
      <w:r w:rsidRPr="008345A5">
        <w:rPr>
          <w:sz w:val="24"/>
        </w:rPr>
        <w:t xml:space="preserve">k több mint felének </w:t>
      </w:r>
      <w:r>
        <w:rPr>
          <w:sz w:val="24"/>
        </w:rPr>
        <w:t xml:space="preserve">egyáltalán </w:t>
      </w:r>
      <w:r w:rsidRPr="008345A5">
        <w:rPr>
          <w:sz w:val="24"/>
        </w:rPr>
        <w:t>nem volt DDS-</w:t>
      </w:r>
      <w:r>
        <w:rPr>
          <w:sz w:val="24"/>
        </w:rPr>
        <w:t>e. Mások ugyan kidolgozták a rendszert, de az tárgyi tévedéseket tartalmazott, illetve nem igazodott a valós kereskedelmi tevékenységükhöz. Sőt, arra is volt példa, hogy az importőr nem alkalmazta a gyakorlatban a saját DDS-ében foglalt előírásokat. Mindez különösen meglepő annak fényében, hogy az EUTR hatóság több héttel az ellenőrzés előtt minden érintett vállalkozást értesített a várható szemléről.</w:t>
      </w:r>
    </w:p>
    <w:p w14:paraId="14A0E464" w14:textId="77777777" w:rsidR="002C1FF5" w:rsidRDefault="002C1FF5" w:rsidP="002C1FF5">
      <w:pPr>
        <w:spacing w:after="0" w:line="240" w:lineRule="auto"/>
        <w:rPr>
          <w:sz w:val="24"/>
        </w:rPr>
      </w:pPr>
    </w:p>
    <w:p w14:paraId="7B668D8B" w14:textId="77777777" w:rsidR="002C1FF5" w:rsidRPr="003A47F7" w:rsidRDefault="002C1FF5" w:rsidP="002C1FF5">
      <w:pPr>
        <w:spacing w:after="0" w:line="240" w:lineRule="auto"/>
        <w:rPr>
          <w:sz w:val="24"/>
          <w:szCs w:val="24"/>
        </w:rPr>
      </w:pPr>
      <w:r w:rsidRPr="003A47F7">
        <w:rPr>
          <w:sz w:val="24"/>
          <w:szCs w:val="24"/>
        </w:rPr>
        <w:t xml:space="preserve">Valamelyest javítja az összképet, hogy néhány jó példa is előfordult az ellenőrzés során. Ez bizonyítja, hogy amennyiben az importőr </w:t>
      </w:r>
      <w:proofErr w:type="spellStart"/>
      <w:r w:rsidRPr="003A47F7">
        <w:rPr>
          <w:sz w:val="24"/>
          <w:szCs w:val="24"/>
        </w:rPr>
        <w:t>teljeskörűen</w:t>
      </w:r>
      <w:proofErr w:type="spellEnd"/>
      <w:r w:rsidRPr="003A47F7">
        <w:rPr>
          <w:sz w:val="24"/>
          <w:szCs w:val="24"/>
        </w:rPr>
        <w:t xml:space="preserve"> áttekintette saját tevékenységét és az általa beszerzett fatermékekre kialakított egy logikus eredetigazolási rendszert, megismerte az importált fatermékeihez kapcsolódó árukísérő dokumentumokat, azok tartalmát, akkor minden esetben képes volt megfogalmazni</w:t>
      </w:r>
      <w:r>
        <w:rPr>
          <w:sz w:val="24"/>
          <w:szCs w:val="24"/>
        </w:rPr>
        <w:t xml:space="preserve"> </w:t>
      </w:r>
      <w:r w:rsidRPr="003A47F7">
        <w:rPr>
          <w:sz w:val="24"/>
          <w:szCs w:val="24"/>
        </w:rPr>
        <w:t>azokat a módszereket, amelyekkel a faanyag eredetéről meg tudott bizonyosodni</w:t>
      </w:r>
      <w:r>
        <w:rPr>
          <w:sz w:val="24"/>
          <w:szCs w:val="24"/>
        </w:rPr>
        <w:t>.</w:t>
      </w:r>
    </w:p>
    <w:p w14:paraId="2850F6B2" w14:textId="77777777" w:rsidR="002C1FF5" w:rsidRDefault="002C1FF5" w:rsidP="002C1FF5">
      <w:pPr>
        <w:spacing w:after="0" w:line="240" w:lineRule="auto"/>
        <w:rPr>
          <w:sz w:val="24"/>
        </w:rPr>
      </w:pPr>
    </w:p>
    <w:p w14:paraId="4514E567" w14:textId="77777777" w:rsidR="002C1FF5" w:rsidRPr="00EB46B4" w:rsidRDefault="002C1FF5" w:rsidP="002C1FF5">
      <w:pPr>
        <w:spacing w:after="0" w:line="240" w:lineRule="auto"/>
        <w:rPr>
          <w:sz w:val="24"/>
        </w:rPr>
      </w:pPr>
      <w:r w:rsidRPr="00EB46B4">
        <w:rPr>
          <w:sz w:val="24"/>
        </w:rPr>
        <w:t xml:space="preserve">A Nébih felhívja a faanyagkereskedelmi lánc szereplőinek figyelmét, hogy </w:t>
      </w:r>
      <w:r>
        <w:rPr>
          <w:sz w:val="24"/>
        </w:rPr>
        <w:t>a tavalyi ellenőrzések túlnyomórészt negatív tapasztalatai alapján a szakemberek a jövőben fokozottan vizsgálják a DDS meglétét, de mindenekelőtt annak tartalmi megfelelőségét és gyakorlati alkalmazását.</w:t>
      </w:r>
    </w:p>
    <w:p w14:paraId="4EF3AFC5" w14:textId="77777777" w:rsidR="002C1FF5" w:rsidRDefault="002C1FF5" w:rsidP="002C1FF5">
      <w:pPr>
        <w:spacing w:after="0" w:line="240" w:lineRule="auto"/>
        <w:rPr>
          <w:sz w:val="24"/>
          <w:szCs w:val="24"/>
        </w:rPr>
      </w:pPr>
    </w:p>
    <w:p w14:paraId="73C1569F" w14:textId="547DBEF6" w:rsidR="00562602" w:rsidRPr="0093016E" w:rsidRDefault="00562602" w:rsidP="002C1FF5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 w:rsidR="002C1FF5"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2C1FF5">
        <w:rPr>
          <w:sz w:val="24"/>
          <w:szCs w:val="24"/>
        </w:rPr>
        <w:t>február 1</w:t>
      </w:r>
      <w:r w:rsidR="00381ABA">
        <w:rPr>
          <w:sz w:val="24"/>
          <w:szCs w:val="24"/>
        </w:rPr>
        <w:t>.</w:t>
      </w:r>
    </w:p>
    <w:p w14:paraId="5B251077" w14:textId="77777777" w:rsidR="00562602" w:rsidRPr="0093016E" w:rsidRDefault="00562602" w:rsidP="002C1FF5">
      <w:pPr>
        <w:spacing w:after="0" w:line="240" w:lineRule="auto"/>
        <w:jc w:val="right"/>
        <w:rPr>
          <w:sz w:val="24"/>
          <w:szCs w:val="24"/>
        </w:rPr>
      </w:pPr>
    </w:p>
    <w:p w14:paraId="37F58511" w14:textId="77777777" w:rsidR="008E16E7" w:rsidRPr="00A975C3" w:rsidRDefault="00562602" w:rsidP="00C01527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E16E7" w:rsidRPr="00A975C3" w:rsidSect="00E572BC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4F45" w14:textId="77777777" w:rsidR="00B35C9C" w:rsidRDefault="00B35C9C" w:rsidP="00D37AC1">
      <w:pPr>
        <w:spacing w:after="0" w:line="240" w:lineRule="auto"/>
      </w:pPr>
      <w:r>
        <w:separator/>
      </w:r>
    </w:p>
  </w:endnote>
  <w:endnote w:type="continuationSeparator" w:id="0">
    <w:p w14:paraId="2E94F640" w14:textId="77777777" w:rsidR="00B35C9C" w:rsidRDefault="00B35C9C" w:rsidP="00D37AC1">
      <w:pPr>
        <w:spacing w:after="0" w:line="240" w:lineRule="auto"/>
      </w:pPr>
      <w:r>
        <w:continuationSeparator/>
      </w:r>
    </w:p>
  </w:endnote>
  <w:endnote w:type="continuationNotice" w:id="1">
    <w:p w14:paraId="5AFB54C5" w14:textId="77777777" w:rsidR="00B35C9C" w:rsidRDefault="00B35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9B04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D5631" w14:textId="77777777" w:rsidR="00B35C9C" w:rsidRDefault="00B35C9C" w:rsidP="00D37AC1">
      <w:pPr>
        <w:spacing w:after="0" w:line="240" w:lineRule="auto"/>
      </w:pPr>
      <w:r>
        <w:separator/>
      </w:r>
    </w:p>
  </w:footnote>
  <w:footnote w:type="continuationSeparator" w:id="0">
    <w:p w14:paraId="24EFFC98" w14:textId="77777777" w:rsidR="00B35C9C" w:rsidRDefault="00B35C9C" w:rsidP="00D37AC1">
      <w:pPr>
        <w:spacing w:after="0" w:line="240" w:lineRule="auto"/>
      </w:pPr>
      <w:r>
        <w:continuationSeparator/>
      </w:r>
    </w:p>
  </w:footnote>
  <w:footnote w:type="continuationNotice" w:id="1">
    <w:p w14:paraId="6D9F80D3" w14:textId="77777777" w:rsidR="00B35C9C" w:rsidRDefault="00B35C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9611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221A" w14:textId="77777777" w:rsidR="008B3EE6" w:rsidRDefault="00426A2E" w:rsidP="00E572BC">
    <w:pPr>
      <w:pStyle w:val="lfej"/>
      <w:ind w:left="-851"/>
    </w:pPr>
    <w:r>
      <w:rPr>
        <w:noProof/>
        <w:lang w:eastAsia="hu-HU"/>
      </w:rPr>
      <w:drawing>
        <wp:inline distT="0" distB="0" distL="0" distR="0" wp14:anchorId="27474916" wp14:editId="74CB9480">
          <wp:extent cx="6659225" cy="662417"/>
          <wp:effectExtent l="0" t="0" r="8890" b="4445"/>
          <wp:docPr id="16" name="Kép 1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0F66"/>
    <w:rsid w:val="002C1520"/>
    <w:rsid w:val="002C1C0F"/>
    <w:rsid w:val="002C1FF5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1E2D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5C9C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ABB2"/>
  <w15:docId w15:val="{724A65BA-F680-49BA-9FCF-CF3F20CE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6D87B-E805-41B8-84B4-CB08F865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3110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2</cp:revision>
  <cp:lastPrinted>2016-04-27T06:26:00Z</cp:lastPrinted>
  <dcterms:created xsi:type="dcterms:W3CDTF">2022-01-31T17:13:00Z</dcterms:created>
  <dcterms:modified xsi:type="dcterms:W3CDTF">2022-01-31T17:13:00Z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